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color w:val="666666"/>
          <w:sz w:val="27"/>
          <w:szCs w:val="27"/>
          <w:rtl w:val="0"/>
        </w:rPr>
        <w:t xml:space="preserve">Laboratorio de construcciones e instalaciones eléctricas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65.132408891366"/>
        <w:gridCol w:w="194.88715768935964"/>
        <w:gridCol w:w="194.88715768935964"/>
        <w:gridCol w:w="194.88715768935964"/>
        <w:gridCol w:w="175.71792906417673"/>
        <w:tblGridChange w:id="0">
          <w:tblGrid>
            <w:gridCol w:w="8265.132408891366"/>
            <w:gridCol w:w="194.88715768935964"/>
            <w:gridCol w:w="194.88715768935964"/>
            <w:gridCol w:w="194.88715768935964"/>
            <w:gridCol w:w="175.71792906417673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Laboratorio de electrónica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 una superficie de 64 m², está equipado con 20 puestos de trabajo que cuentan con: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Osciloscopios de 2 canales.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Fuentes de poder.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Variac.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Medidores de corriente alterna y continua.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Medidores de señal.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Medidores de onda y sonido.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Multitester análogos.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Multitester digital.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Protoboard (diferentes medidas).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Kit de resistencias y elementos de electrónica básica y electrónica digital.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Juego de herramientas múltiples.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Equipo de computación Pentium III con software técnicos.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drawing>
                <wp:inline distB="114300" distT="114300" distL="114300" distR="114300">
                  <wp:extent cx="95250" cy="76200"/>
                  <wp:effectExtent b="0" l="0" r="0" t="0"/>
                  <wp:docPr id="3" name="image05.jpg"/>
                  <a:graphic>
                    <a:graphicData uri="http://schemas.openxmlformats.org/drawingml/2006/picture">
                      <pic:pic>
                        <pic:nvPicPr>
                          <pic:cNvPr id="0" name="image05.jpg"/>
                          <pic:cNvPicPr preferRelativeResize="0"/>
                        </pic:nvPicPr>
                        <pic:blipFill>
                          <a:blip r:embed="rId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Laboratorio de telecomunicaciones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Tiene 64 m² y está equipado con: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Una red de informática.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 equipos computacionales Pentium III.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Software técnicos.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centrales telefónicas (una análoga y dos digitales).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Set de herramientas e instrumentos técnicos.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Kit de componentes electrónicos y de comunicación.</w:t>
            </w:r>
          </w:p>
          <w:p w:rsidR="00000000" w:rsidDel="00000000" w:rsidP="00000000" w:rsidRDefault="00000000" w:rsidRPr="00000000">
            <w:pPr>
              <w:numPr>
                <w:ilvl w:val="0"/>
                <w:numId w:val="2"/>
              </w:numPr>
              <w:ind w:left="720" w:hanging="360"/>
              <w:contextualSpacing w:val="1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 equipos computacionales para armado y configuración de PC personales.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drawing>
                <wp:inline distB="114300" distT="114300" distL="114300" distR="114300">
                  <wp:extent cx="95250" cy="76200"/>
                  <wp:effectExtent b="0" l="0" r="0" t="0"/>
                  <wp:docPr id="2" name="image04.jpg"/>
                  <a:graphic>
                    <a:graphicData uri="http://schemas.openxmlformats.org/drawingml/2006/picture">
                      <pic:pic>
                        <pic:nvPicPr>
                          <pic:cNvPr id="0" name="image04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Pañol central de herramientas y equipos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Tiene una superfice de 18  m². Esta infraestructura significó una inversión aproximada de 45.000.000 de pesos.</w:t>
            </w:r>
          </w:p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Estos laboratorios benefician a 46 alumnos divididos en 2 grupos: 25 alumnos en III° medio y 19 alumnos en IV ° medio.</w:t>
            </w:r>
          </w:p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 el laboratorio los alumnos trabajan con una red de informática dotada con varios softwares técnicos.</w:t>
            </w:r>
          </w:p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Como parte del aprendizaje en el área de las telecomunicaciones, los alumnos realizan experimentos acústicos. El armado y desarmado de aparatos electrónicos y comunicacionales son algunas de las actividades que se desarrollan en el Laboratorio de Telecomunicaciones.</w:t>
            </w:r>
          </w:p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El Taller de Electrónica permite a los alumnos experimentar con instrumentos de medición de alta precisión y tecnología de punta.</w:t>
            </w:r>
          </w:p>
          <w:p w:rsidR="00000000" w:rsidDel="00000000" w:rsidP="00000000" w:rsidRDefault="00000000" w:rsidRPr="00000000">
            <w:pPr>
              <w:contextualSpacing w:val="0"/>
              <w:jc w:val="both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Los computadores constituyen una herramienta fundamental para formar a los alumnos de la especialidad en concordancia con los avances tecnológicos del mundo laboral.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drawing>
                <wp:inline distB="114300" distT="114300" distL="114300" distR="114300">
                  <wp:extent cx="95250" cy="76200"/>
                  <wp:effectExtent b="0" l="0" r="0" t="0"/>
                  <wp:docPr id="1" name="image03.jpg"/>
                  <a:graphic>
                    <a:graphicData uri="http://schemas.openxmlformats.org/drawingml/2006/picture">
                      <pic:pic>
                        <pic:nvPicPr>
                          <pic:cNvPr id="0" name="image0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7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  <w:contextualSpacing w:val="1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  <w:contextualSpacing w:val="1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5.jpg"/><Relationship Id="rId6" Type="http://schemas.openxmlformats.org/officeDocument/2006/relationships/image" Target="media/image04.jpg"/><Relationship Id="rId7" Type="http://schemas.openxmlformats.org/officeDocument/2006/relationships/image" Target="media/image03.jpg"/></Relationships>
</file>